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3840" w:leftChars="0" w:right="0" w:rightChars="0" w:hanging="3840" w:hangingChars="1600"/>
        <w:jc w:val="left"/>
        <w:textAlignment w:val="auto"/>
        <w:outlineLvl w:val="1"/>
      </w:pPr>
      <w:bookmarkStart w:id="0" w:name="_Toc15678"/>
      <w:r>
        <w:rPr>
          <w:rFonts w:hint="eastAsia" w:ascii="宋体" w:hAnsi="宋体" w:cs="宋体"/>
          <w:sz w:val="24"/>
          <w:szCs w:val="24"/>
        </w:rPr>
        <w:t>IRB-ZD-004（F）-004-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r>
        <w:rPr>
          <w:rFonts w:hint="eastAsia"/>
        </w:rPr>
        <w:br w:type="textWrapping"/>
      </w:r>
      <w:r>
        <w:rPr>
          <w:rFonts w:hint="eastAsia"/>
        </w:rPr>
        <w:t>复审申请</w:t>
      </w:r>
      <w:bookmarkEnd w:id="0"/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50"/>
        <w:gridCol w:w="1997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14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46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5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受理号</w:t>
            </w:r>
          </w:p>
        </w:tc>
        <w:tc>
          <w:tcPr>
            <w:tcW w:w="199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>
      <w:r>
        <w:rPr>
          <w:rFonts w:hint="eastAsia"/>
        </w:rPr>
        <w:t>修正情况</w:t>
      </w:r>
      <w:bookmarkStart w:id="1" w:name="_GoBack"/>
      <w:bookmarkEnd w:id="1"/>
    </w:p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完全按伦理审查意见修改的部分</w:t>
      </w:r>
    </w:p>
    <w:p/>
    <w:p/>
    <w:p/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参考伦理审查意见修改的部分</w:t>
      </w:r>
    </w:p>
    <w:p/>
    <w:p/>
    <w:p/>
    <w:p/>
    <w:p>
      <w:pPr>
        <w:rPr>
          <w:rFonts w:hint="eastAsia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没有修改，对伦理审查意见的说明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/>
    <w:p>
      <w:pPr>
        <w:rPr>
          <w:szCs w:val="21"/>
        </w:rPr>
      </w:pPr>
    </w:p>
    <w:p>
      <w:pPr>
        <w:rPr>
          <w:szCs w:val="21"/>
        </w:rPr>
      </w:pPr>
    </w:p>
    <w:tbl>
      <w:tblPr>
        <w:tblStyle w:val="2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年   月   日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C4191C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1866CC3"/>
    <w:rsid w:val="61F74A65"/>
    <w:rsid w:val="62126C63"/>
    <w:rsid w:val="624D1E6C"/>
    <w:rsid w:val="62736B0D"/>
    <w:rsid w:val="634F0DD9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2017-04-24T09:36:16Z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